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>w siedzibie Okręgoweg</w:t>
      </w:r>
      <w:r w:rsidR="001A6A5A">
        <w:rPr>
          <w:rFonts w:ascii="Arial" w:hAnsi="Arial" w:cs="Arial"/>
        </w:rPr>
        <w:t>o Inspektoratu Pracy Oddziału w</w:t>
      </w:r>
      <w:bookmarkStart w:id="0" w:name="_GoBack"/>
      <w:bookmarkEnd w:id="0"/>
      <w:r w:rsidR="0082186F" w:rsidRPr="0082186F">
        <w:rPr>
          <w:rFonts w:ascii="Arial" w:hAnsi="Arial" w:cs="Arial"/>
        </w:rPr>
        <w:t xml:space="preserve"> Starogardzie Gdańskim, ul. Sikorskiego 18, 83-200 Starogard Gdański</w:t>
      </w:r>
      <w:r w:rsidRPr="007E0423">
        <w:rPr>
          <w:rFonts w:ascii="Arial" w:hAnsi="Arial" w:cs="Arial"/>
        </w:rPr>
        <w:t>, 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909C9"/>
    <w:rsid w:val="000D7721"/>
    <w:rsid w:val="001A6A5A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2186F"/>
    <w:rsid w:val="008525A8"/>
    <w:rsid w:val="00AF4DFF"/>
    <w:rsid w:val="00C14740"/>
    <w:rsid w:val="00CA6D5B"/>
    <w:rsid w:val="00D179C3"/>
    <w:rsid w:val="00E603E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4</cp:revision>
  <cp:lastPrinted>2022-06-02T09:17:00Z</cp:lastPrinted>
  <dcterms:created xsi:type="dcterms:W3CDTF">2023-05-11T12:00:00Z</dcterms:created>
  <dcterms:modified xsi:type="dcterms:W3CDTF">2023-06-05T11:00:00Z</dcterms:modified>
</cp:coreProperties>
</file>